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232 vom 17. Februar 2026</w:t>
      </w:r>
    </w:p>
    <w:p>
      <w:r>
        <w:t>BE Verwaltungsgericht, 2026-02-17, DE</w:t>
      </w:r>
    </w:p>
    <w:p>
      <w:r>
        <w:rPr>
          <w:b/>
        </w:rPr>
        <w:t xml:space="preserve">Quelle: </w:t>
      </w:r>
      <w:r>
        <w:t>https://mcp.opencaselaw.ch/entscheid/be_verwaltungsgericht_100 2025 232</w:t>
      </w:r>
    </w:p>
    <w:p>
      <w:r>
        <w:t>FR: BE_VERWALTUNGSGERICHT 100 2025 232 du 17 février 2026</w:t>
      </w:r>
    </w:p>
    <w:p>
      <w:r>
        <w:t>IT: BE_VERWALTUNGSGERICHT 100 2025 232 del 17 febbraio 2026</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StRK ist auf den Rekurs und die Beschwerde des Beschwerdeführers nicht eingetreten, weshalb sich dessen Beschwerdebefugnis für das verwaltungsgerichtliche Verfahren un-</w:t>
      </w:r>
    </w:p>
    <w:p>
      <w:r>
        <w:t>Urteil des Verwaltungsgerichts des Kantons Bern vom 17.02.2026, Nrn. 100.2025.232/ 233U, Seite 4 mittelbar aus dem negativen Prozessentscheid ergibt (vgl. statt vieler BVR 2017 S. 418 E. 1.1). Die Bestimmungen über Form und Frist sind ein- gehalten (Art. 151 StG i.V.m. Art. 81 Abs. 1 und Art. 32 VRPG; Art. 145 Abs. 2 i.V.m. Art. 140 DBG). Auf die Beschwerden ist unter Vorbehalt der nachfolgenden Erwägung einzutreten.</w:t>
      </w:r>
    </w:p>
    <w:p>
      <w:r>
        <w:rPr>
          <w:b/>
        </w:rPr>
        <w:t>E. 1.2</w:t>
      </w:r>
    </w:p>
    <w:p>
      <w:r>
        <w:t>Da Nichteintretensentscheide angefochten sind, kann Prozessthema des verwaltungsgerichtlichen Beschwerdeverfahrens bloss die Frage bilden, ob die StRK zu Recht keine Sachentscheide gefällt hat. Dem Verwaltungs- gericht ist es in solchen Fällen regelmässig verwehrt, sich mit der materiell- rechtlichen Seite der Streitigkeit zu befassen (vgl. BVR 2021 S. 558 E. 1.2, 2017 S. 459 E. 2.3; Michel Daum, in Herzog/Daum [Hrsg.], Kommentar zum bernischen VRPG, 2. Aufl. 2020, Art. 20a N. 45). Insofern sind die Aus- führungen des Beschwerdeführers zur (materiell strittigen) Frage, ob der von ihm in der Steuererklärung 2018 als steuerbares Einkommen aus «Bera- tung» (zu Gunsten der Augenarzt C.________ AG) deklarierte Betrag von Fr. 46'000.-- von der Steuerverwaltung zu Recht oder Unrecht als (weitere) nicht steuerbare Einkunft qualifiziert worden ist, für die vorliegenden Verfahren nicht relevant, weshalb darauf nicht einzugehen ist. Soweit der Beschwerdeführer sinngemäss beantragt, er sei gemäss seiner Selbstdeklaration zu veranlagen (vgl. Verwaltungsgerichtsbeschwerden S. 4; vorne Bst. C), strebt er Entscheide in der Sache an, womit er den Streitgegenstand in unzulässiger Weise erweitert; auf die Beschwerden ist daher insoweit nicht einzutreten.</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147 II 209 [BGer 2C_1059/2019 vom 1.12.2020] nicht publ. E. 1.1, 146 II 111 [BGer 2C_151/2017 vom 16.12.2019, in StE 2020 B 11.3 Nr. 31] nicht publ. E. 1.1, 142 II 293 E. 1.2). Da hier die einschlägigen Bestimmungen des kan- tonalen und eidgenössischen Rechts weitgehend gleich lauten, rechtfertigt</w:t>
      </w:r>
    </w:p>
    <w:p>
      <w:r>
        <w:t>Urteil des Verwaltungsgerichts des Kantons Bern vom 17.02.2026, Nrn. 100.2025.232/ 233U, Seite 5 sich die gemeinsame Beurteilung der Streitigkeit hinsichtlich kommunaler, kantonaler und eidgenössischer Steuern.</w:t>
      </w:r>
    </w:p>
    <w:p>
      <w:r>
        <w:rPr>
          <w:b/>
        </w:rPr>
        <w:t>E. 1.4</w:t>
      </w:r>
    </w:p>
    <w:p>
      <w:r>
        <w:t>Beschwerden gegen Nichteintretensentscheide sind einzelrichterlich zu beurteilen (Art. 57 Abs. 2 Bst. c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rPr>
          <w:b/>
        </w:rPr>
        <w:t>E. 2.1</w:t>
      </w:r>
    </w:p>
    <w:p>
      <w:r>
        <w:t>Die StRK entscheidet in der Sache, wenn die Prozessvoraussetzun- gen erfüllt sind (vgl. Art. 11 des Gesetzes vom 23. November 1999 über die Steuerrekurskommission [StRKG; BSG 661.611] i.V.m. Art. 151 StG und Art. 20a Abs. 2 VRPG). Die Rekurs- bzw. Beschwerdebefugnis der steuer- pflichtigen Person (Art. 195 Abs. 2 StG; Art. 140 Abs. 1 DBG; Art. 50 Abs. 1 des Bundesgesetzes vom 14. Dezember 1990 über die Harmonisierung der direkten Steuern der Kantone und Gemeinden [StHG; SR 642.14]) richtet sich nach den allgemeinen Legitimationsvoraussetzungen (vgl. statt vieler VGE 2018/364/365 vom 18.4.2019 E. 5. [bestätigt durch BGer 2C_517/2019 vom 17.6.2019]). Ein schutzwürdiges Interesse liegt vor, wenn die tatsächli- che oder rechtliche Situation der betroffenen Person durch den Ausgang des Verfahrens beeinflusst werden kann, so dass von der Abwendung eines ma- teriellen oder ideellen Nachteils gesprochen werden kann (vgl. BVR 2015 S. 534 E. 2.1). Dieses Rechtsschutzinteresse liegt auf der Hand, wenn die steuerpflichtige Person eine tiefere Steuerbelastung anstrebt, nicht aber im umgekehrten Fall: Wird eine Abänderung der Steuerfaktoren zum eigenen Nachteil beantragt, fehlt es in der Regel an einem schutzwürdigen Interesse. Das Interesse an einer Höherveranlagung wird nur ausnahmsweise bejaht, wenn sich die Höherveranlagung gesamthaft als günstiger erweist, nament- lich wenn dadurch in einer Folgeperiode niedrigere Steuern anfallen, im Zu- sammenhang mit einer aktuellen oder virtuellen Doppelbesteuerung, bei Konkurrenz der ordentlichen Besteuerung mit einer Sonderbesteuerung, zur</w:t>
      </w:r>
    </w:p>
    <w:p>
      <w:r>
        <w:t>Urteil des Verwaltungsgerichts des Kantons Bern vom 17.02.2026, Nrn. 100.2025.232/ 233U, Seite 6 Abwendung eines Nachsteuer- oder Hinterziehungsverfahrens oder wenn in einem anderen Rechtsgebiet auf die abgaberechtliche Beurteilung abgestellt wird (vgl. BVR 2003 S. 217 [VGE 21446 vom 17.12.2002] nicht publ. E. 2b, 1993 S. 446 E. 1b f.; VGE 2022/2/3 vom 20.6.2024 E. 1.4, 2020/263/264 vom 28.10.2022 E. 1.2; BGE 150 II 409 E. 2.2.2 ff., 140 II 167 [BGer 2C_490/2013 vom 29.1.2014] nicht publ. E. 1.1; BGer 9C_187/2025 vom 3.7.2025 E. 3.3.4; zur Legitimationspraxis bei sog. «Nullveranlagun- gen» statt aller BGer 9C_383/2024 vom 25.9.2024, in StE 2025 B 96.23 Nr. 4 E. 2.2). Es ist Sache des Beschwerdeführers, die Umstände darzutun, die das Rechtsschutzinteresse begründen (BVR 2015 S. 534 E. 2.1 mit Hinwei- sen; vgl. auch BGer 9C_383/2024 vom 25.9.2024, in StE 2025 B 96.23 Nr. 4 E. 2.5.1 f.).</w:t>
      </w:r>
    </w:p>
    <w:p>
      <w:r>
        <w:rPr>
          <w:b/>
        </w:rPr>
        <w:t>E. 2.2</w:t>
      </w:r>
    </w:p>
    <w:p>
      <w:r>
        <w:t>Der Beschwerdeführer beantragt sinngemäss, der Betrag von Fr. 46'000.-- sei gemäss seiner Selbstdeklaration als steuerbares Einkom- men zu behandeln. Die Steuerverwaltung erachtete diese Zahlung an den Beschwerdeführer bei der Augenarzt C.________ AG nicht als geschäfts- mässig begründet und rechnete sie entsprechend beim Gewinn der Gesell- schaft auf. Weiter qualifizierte sie die Zahlung in einem ersten Schritt als geldwerte Leistung der Gesellschaft an die (gemäss unwidersprochen ge- bliebener Darstellung der Steuerverwaltung) Alleinaktionärin Dr. D.________ und in einem zweiten Schritt als Schenkung bzw. «Unterstüt- zungsbeitrag» an den Beschwerdeführer (vgl. Stellungnahme der Steuerver- waltung vom 18.3.2025 in den vorinstanzlichen Verfahren, Vorakten StRK [act. 3A] pag. 68 ff.; Veranlagungsverfügungen vom 2.12.2021 betreffend die Gesellschaft sowie betreffend den Beschwerdeführer vom 4.7.2024, jeweils in Bezug auf das Steuerjahr 2018, Vorakten StV [act. 3B] pag. 59 f. und 86 ff.). Dieser bringt jedoch vor, bei den Zahlungen habe es sich um Einkünfte aus seiner Tätigkeit für die Gesellschaft gehandelt. Mit seinem Begehren zielt er auf eine Erhöhung seines steuerbaren Einkommens ab.</w:t>
      </w:r>
    </w:p>
    <w:p>
      <w:r>
        <w:rPr>
          <w:b/>
        </w:rPr>
        <w:t>E. 2.3</w:t>
      </w:r>
    </w:p>
    <w:p>
      <w:r>
        <w:t>Wie dargelegt, besteht ein schutzwürdiges Interesse an einer Höher- veranlagung nur in Ausnahmefällen (vorne E. 2.1). Ein solches vermögen die vom Beschwerdeführer dargelegten Argumente nicht zu begründen und er- gibt sich auch nicht aus den Umständen:</w:t>
      </w:r>
    </w:p>
    <w:p>
      <w:r>
        <w:t>Urteil des Verwaltungsgerichts des Kantons Bern vom 17.02.2026, Nrn. 100.2025.232/ 233U, Seite 7</w:t>
      </w:r>
    </w:p>
    <w:p>
      <w:r>
        <w:rPr>
          <w:b/>
        </w:rPr>
        <w:t>E. 2.3.1</w:t>
      </w:r>
    </w:p>
    <w:p>
      <w:r>
        <w:t>Soweit er (sinngemäss) vorbringt, die Augenarzt C.________ AG bzw. deren Inhaberin Dr. D.________ solle nicht «unberechtigterweise» seine Steuern für die Einkünfte aus seiner Tätigkeit für die Gesellschaft zah- len (vgl. Verwaltungsgerichtsbeschwerden S. 1), zeigt er damit nicht auf, in- wiefern er selber über ein schutzwürdiges Interesse an der Erhöhung seiner Steuerfaktoren hat. Verlangt ist ein eigenes und persönliches Betroffensein, was heisst, dass der angefochtene Akt auch der anfechtenden Person zum Nachteil gereichen muss, nicht nur Drittpersonen (Michael Pflüger, in Her- zog/Daum [Hrsg.], Kommentar zum bernischen VRPG, 2. Aufl. 2020, Art. 65 N. 15 mit Hinweisen auf die Praxis). Sich gegen allfällige Aufrechnungen zu wehren, ist Sache der Gesellschaft bzw. der Beteiligungsinhaberin und liegt nicht im persönlichen Interesse des Beschwerdeführers (vgl. BGer 2C_292/2009 und 2C_293/2009 vom 26.3.2010 E. 1.3). Der Be- schwerdeführer äussert weiter die Befürchtung, seine «Steuerfreiheit» könne ihn den Job kosten; die Aufrechnungen würden bei Dr. D.________ zu einer «übermässigen Steuerbelastung» führen, welche diese nur «prästieren» könne, wenn sie laufend mehr Lohn erhalte. Diese Mittel würden dann bei der Gesellschaft fehlen, was für diese «schlicht letal» sei und beim jüngsten Abschluss zu einem Verlust geführt habe (vgl. Verwaltungsgerichtsbe- schwerden S. 2; verbesserte Eingabe vom 8. bzw. 28.10.2025 S. 2). Auch solche (vagen) Bedenken scheinen mit Blick auf die Höhe der fraglichen Auf- rechnung nicht hinreichend wahrscheinlich, um ein direktes, unmittelbares Berührtsein des Beschwerdeführers zu begründen (dazu Michael Pflüger, a.a.O., Art. 65 N. 16), zumal keine Hinweise auf einen drohenden Konkurs der Gesellschaft bestehen. Der Beschwerdeführer macht weiter geltend, durch die Qualifikation der fraglichen Zahlungen als Unterstützungsbeiträge werde er «zum zu Dankbarkeit verpflichteten Almosenempfänger ‹abegmacht›», wobei es sich um «demütigende, infame Lügen» handle, un- ter welchen er «seelisch schwer zu leiden» habe (vgl. Eingabe vom 28.10.2025). Selbst wenn der Beschwerdeführer die steuerrechtliche Einord- nung des von ihm deklarierten Betrags subjektiv als verletzend empfunden haben mag, kann darin mit der Vorinstanz aus objektiver Sicht kein hinrei- chend intensiver (ideeller) Nachteil erblickt werden, aus welchem sich ein rechtsgenügliches Rechtsschutzinteresse ableiten liesse.</w:t>
      </w:r>
    </w:p>
    <w:p>
      <w:r>
        <w:t>Urteil des Verwaltungsgerichts des Kantons Bern vom 17.02.2026, Nrn. 100.2025.232/ 233U, Seite 8</w:t>
      </w:r>
    </w:p>
    <w:p>
      <w:r>
        <w:rPr>
          <w:b/>
        </w:rPr>
        <w:t>E. 2.3.2</w:t>
      </w:r>
    </w:p>
    <w:p>
      <w:r>
        <w:t>Nicht gefolgt werden kann dem Beschwerdeführer sodann, wenn er vorbringt, die Vorinstanz habe «geleugnet», dass ein Nachsteuerverfahren hängig sei (Verwaltungsgerichtsbeschwerden S. 3). Vielmehr hat die StRK festgestellt, dass die Steuerverwaltung am 1. Mai 2024 ein Nachsteuerver- fahren eingeleitet habe und sich dieses auf die Jahre 2016 und 2017 be- ziehe. Die hier strittigen Veranlagungsverfügungen beträfen das Jahr 2018 und seien erst danach eröffnet worden. Zudem habe der Beschwerdeführer die Zahlungen der Augenarzt C.________ AG in der Steuererklärung 2018 als steuerbares Einkommen deklariert, weshalb ihm diesbezüglich kein Nachsteuer- und erst recht kein Strafsteuerverfahren drohen könne (ange- fochtene Entscheide E. 1.5). Dem hält der Beschwerdeführer nichts entge- gen und zeigt nicht auf, inwiefern die beantragte Höherveranlagung Einfluss auf das (bereits eingeleitete) Nachsteuerverfahren haben könnte.</w:t>
      </w:r>
    </w:p>
    <w:p>
      <w:r>
        <w:rPr>
          <w:b/>
        </w:rPr>
        <w:t>E. 2.3.3</w:t>
      </w:r>
    </w:p>
    <w:p>
      <w:r>
        <w:t>Ein schutzwürdiges Interesse ist auch nicht darin zu erkennen, dass die AHV-Ausgleichskasse … und die Ausgleichskasse des Kantons Bern die von der Gesellschaft an den Beschwerdeführer geflossenen finanziellen Leistungen offenbar unterschiedlich qualifizieren (vgl. Verwaltungsgerichts- beschwerden S. 2). Die StRK weist zudem zu Recht darauf hin (angefoch- tene Entscheide E. 1.6), dass die Steuerbehörden bei der Frage, ob (über- haupt) Erwerbseinkommen und gegebenenfalls solches aus selbstständiger oder unselbstständiger Tätigkeit vorliegt, nicht an die sozialversicherungs- rechtliche Beurteilung gebunden sind (und umgekehrt; vgl. Suter/Meier, in Zweifel/Beusch [Hrsg.], Kommentar zum Schweizerischen Steuerrecht, 4. Aufl. 2022, Art. 17 N. 2 mit Hinweis auf BGE 121 I 259 E. 3c; BGE 147 V 114 E. 3.4.2; BGer 9C_107/2013 vom 30.1.2014 E. 1.4; VGE 2012/351/352 vom 27.4.2015 E. 5; jeweils mit weiteren Hinweisen). Schliesslich kann der Be- schwerdeführer nichts zu seinen Gunsten ableiten, wenn er vorbringt, es könne nicht sein, dass durch das steuerbehördliche Vorgehen «ein weiterer Ergänzungsleistungs[…]-Bezüger produziert» werde (vgl. verbesserte Ein- gabe vom 8.10.2025 bzw. 28.10.2025 S. 3), zumal er offenbar im Jahr 2017 bereits Ergänzungsleistungen erhielt (vgl. Vorakten StV [act. 3B] pag. 1).</w:t>
      </w:r>
    </w:p>
    <w:p>
      <w:r>
        <w:rPr>
          <w:b/>
        </w:rPr>
        <w:t>E. 2.3.4</w:t>
      </w:r>
    </w:p>
    <w:p>
      <w:r>
        <w:t>Im Übrigen bringt der Beschwerdeführer weder vor noch ergeben sich Hinweise dafür aus den Akten, dass die Qualifikation der fraglichen Zahlun- gen schenkungssteuerrechtliche Folgen für ihn zeitigen würde, auf die sich</w:t>
      </w:r>
    </w:p>
    <w:p>
      <w:r>
        <w:t>Urteil des Verwaltungsgerichts des Kantons Bern vom 17.02.2026, Nrn. 100.2025.232/ 233U, Seite 9 eine Erhöhung seines steuerbaren Einkommens günstig auswirken könnte (oder würde).</w:t>
      </w:r>
    </w:p>
    <w:p>
      <w:r>
        <w:rPr>
          <w:b/>
        </w:rPr>
        <w:t>E. 2.4</w:t>
      </w:r>
    </w:p>
    <w:p>
      <w:r>
        <w:t>Zusammenfassend gelingt es dem Beschwerdeführer (auch vor Ver- waltungsgericht) nicht, schlüssig aufzuzeigen, weshalb er an der beantrag- ten Höherveranlagung ein hinreichendes schutzwürdiges Interesse haben könnte. Die StRK ist demnach zu Recht auf den Rekurs und die Beschwerde nicht eingetreten.</w:t>
      </w:r>
    </w:p>
    <w:p>
      <w:r>
        <w:rPr>
          <w:b/>
        </w:rPr>
        <w:t>E. 3</w:t>
      </w:r>
    </w:p>
    <w:p>
      <w:r>
        <w:t>Die Kosten des Verfahrens vor dem Verwaltungsgericht, bestimmt auf eine Pauschalgebühr von Fr. 1'500.--, werden dem Beschwerdeführer auferlegt und dem geleisteten Kostenvorschuss in gleicher Höhe entnom- men.</w:t>
      </w:r>
    </w:p>
    <w:p>
      <w:r>
        <w:rPr>
          <w:b/>
        </w:rPr>
        <w:t>E. 3.1</w:t>
      </w:r>
    </w:p>
    <w:p>
      <w:r>
        <w:t>Die Beschwerden erweisen sich demnach als unbegründet und sind abzuweisen, soweit darauf einzutreten ist (vorne E. 1.2). Bei diesem Aus- gang der Verfahren wird der Beschwerdeführer kostenpflichtig (Art. 151 StG i.V.m. Art. 108 Abs. 1 VRPG; Art. 145 Abs. 2 i.V.m. Art. 144 Abs. 1 DBG). Parteikosten sind keine zu sprechen (Art. 151 StG i.V.m. Art. 108 Abs. 3 so- wie Art. 104 Abs. 3 VRPG; Art. 145 Abs. 2 i.V.m. Art. 144 Abs. 4 DBG und Art. 64 des Bundesgesetzes vom 20. Dezember 1968 über das Verwaltungs- verfahren [VwVG; SR 172.021]).</w:t>
      </w:r>
    </w:p>
    <w:p>
      <w:r>
        <w:rPr>
          <w:b/>
        </w:rPr>
        <w:t>E. 3.2</w:t>
      </w:r>
    </w:p>
    <w:p>
      <w:r>
        <w:t>Soweit die Steuerverwaltung im Übrigen beantragt, die Kosten für das Rekurs- und Beschwerdeverfahren seien vollumfänglich dem Beschwerde- führer aufzuerlegen, ist eine Änderung des angefochtenen Entscheids inso- weit mit Blick auf das in den verwaltungsgerichtlichen Verfahren geltende Verschlechterungsverbot (Art. 84 Abs. 2 VRPG; vgl. Ruth Herzog, in Herzog/ Daum [Hrsg.], Kommentar zum bernischen VRPG, 2. Aufl. 2020, Art. 84 N. 21 f.) von vornherein ausgeschlossen, weshalb darauf nicht näher einzu- gehen ist.</w:t>
      </w:r>
    </w:p>
    <w:p>
      <w:r>
        <w:t>Urteil des Verwaltungsgerichts des Kantons Bern vom 17.02.2026, Nrn. 100.2025.232/ 233U, Seite 10 Demnach entscheidet der Einzelrichter: 1. Die Beschwerde betreffend die Kantons- und Gemeindesteuern 2018 wird abgewiesen, soweit darauf eingetreten wird. 2. Die Beschwerde betreffend die direkte Bundessteuer 2018 wird abgewie- sen, soweit darauf eingetreten wird.</w:t>
      </w:r>
    </w:p>
    <w:p>
      <w:r>
        <w:rPr>
          <w:b/>
        </w:rPr>
        <w:t>E. 4</w:t>
      </w:r>
    </w:p>
    <w:p>
      <w:r>
        <w:t>Es werden keine Parteikosten gesprochen.</w:t>
      </w:r>
    </w:p>
    <w:p>
      <w:r>
        <w:rPr>
          <w:b/>
        </w:rPr>
        <w:t>E. 5</w:t>
      </w:r>
    </w:p>
    <w:p>
      <w:r>
        <w:t>Zu eröffnen: - Beschwerdeführer - Steuerverwaltung des Kantons Bern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